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13F85" w14:textId="77777777" w:rsidR="00890D9C" w:rsidRDefault="00000000">
      <w:pPr>
        <w:spacing w:after="20"/>
        <w:jc w:val="center"/>
      </w:pPr>
      <w:r>
        <w:rPr>
          <w:rFonts w:ascii="Cambria" w:eastAsia="Cambria" w:hAnsi="Cambria" w:cs="Cambria"/>
          <w:b/>
          <w:bCs/>
          <w:color w:val="1F3864"/>
          <w:sz w:val="30"/>
          <w:szCs w:val="30"/>
        </w:rPr>
        <w:t>Why Was a Savior Necessary?</w:t>
      </w:r>
    </w:p>
    <w:p w14:paraId="673EA54F" w14:textId="77777777" w:rsidR="00890D9C" w:rsidRDefault="00000000">
      <w:pPr>
        <w:spacing w:after="20"/>
        <w:jc w:val="center"/>
      </w:pPr>
      <w:r>
        <w:rPr>
          <w:rFonts w:ascii="Cambria" w:eastAsia="Cambria" w:hAnsi="Cambria" w:cs="Cambria"/>
          <w:color w:val="444444"/>
        </w:rPr>
        <w:t>The Argument in One Page</w:t>
      </w:r>
    </w:p>
    <w:p w14:paraId="6958B94A" w14:textId="77777777" w:rsidR="00890D9C" w:rsidRDefault="00000000">
      <w:pPr>
        <w:pBdr>
          <w:bottom w:val="single" w:sz="8" w:space="4" w:color="1F3864"/>
        </w:pBdr>
        <w:spacing w:after="70"/>
        <w:jc w:val="center"/>
      </w:pPr>
      <w:r>
        <w:rPr>
          <w:rFonts w:ascii="Calibri" w:eastAsia="Calibri" w:hAnsi="Calibri" w:cs="Calibri"/>
          <w:color w:val="666666"/>
          <w:spacing w:val="20"/>
          <w:sz w:val="15"/>
          <w:szCs w:val="15"/>
        </w:rPr>
        <w:t>CHRISTOS FELLOWSHIP  ·  SUNDAY DISCUSSION</w:t>
      </w:r>
    </w:p>
    <w:p w14:paraId="0BC933D0" w14:textId="77777777" w:rsidR="00890D9C" w:rsidRDefault="00000000">
      <w:pPr>
        <w:spacing w:before="80" w:after="30" w:line="206" w:lineRule="auto"/>
      </w:pPr>
      <w:r>
        <w:rPr>
          <w:rFonts w:ascii="Calibri" w:eastAsia="Calibri" w:hAnsi="Calibri" w:cs="Calibri"/>
          <w:b/>
          <w:bCs/>
          <w:color w:val="1A1A1A"/>
          <w:sz w:val="16"/>
          <w:szCs w:val="16"/>
        </w:rPr>
        <w:t xml:space="preserve">Reading rule: </w:t>
      </w:r>
      <w:r>
        <w:rPr>
          <w:rFonts w:ascii="Calibri" w:eastAsia="Calibri" w:hAnsi="Calibri" w:cs="Calibri"/>
          <w:color w:val="1A1A1A"/>
          <w:sz w:val="16"/>
          <w:szCs w:val="16"/>
        </w:rPr>
        <w:t xml:space="preserve">The </w:t>
      </w:r>
      <w:r>
        <w:rPr>
          <w:rFonts w:ascii="Calibri" w:eastAsia="Calibri" w:hAnsi="Calibri" w:cs="Calibri"/>
          <w:i/>
          <w:iCs/>
          <w:color w:val="1A1A1A"/>
          <w:sz w:val="16"/>
          <w:szCs w:val="16"/>
        </w:rPr>
        <w:t>fact</w:t>
      </w:r>
      <w:r>
        <w:rPr>
          <w:rFonts w:ascii="Calibri" w:eastAsia="Calibri" w:hAnsi="Calibri" w:cs="Calibri"/>
          <w:color w:val="1A1A1A"/>
          <w:sz w:val="16"/>
          <w:szCs w:val="16"/>
        </w:rPr>
        <w:t xml:space="preserve"> of the atonement is settled (Register 1). Only the </w:t>
      </w:r>
      <w:r>
        <w:rPr>
          <w:rFonts w:ascii="Calibri" w:eastAsia="Calibri" w:hAnsi="Calibri" w:cs="Calibri"/>
          <w:i/>
          <w:iCs/>
          <w:color w:val="1A1A1A"/>
          <w:sz w:val="16"/>
          <w:szCs w:val="16"/>
        </w:rPr>
        <w:t>mechanism</w:t>
      </w:r>
      <w:r>
        <w:rPr>
          <w:rFonts w:ascii="Calibri" w:eastAsia="Calibri" w:hAnsi="Calibri" w:cs="Calibri"/>
          <w:color w:val="1A1A1A"/>
          <w:sz w:val="16"/>
          <w:szCs w:val="16"/>
        </w:rPr>
        <w:t xml:space="preserve"> is under discussion (Register 3). If every premise below were wrong, the cross would stand unaffected.</w:t>
      </w:r>
    </w:p>
    <w:p w14:paraId="40D56391" w14:textId="77777777" w:rsidR="00890D9C" w:rsidRDefault="00000000">
      <w:pPr>
        <w:pBdr>
          <w:bottom w:val="single" w:sz="4" w:space="2" w:color="1F3864"/>
        </w:pBdr>
        <w:spacing w:before="76" w:after="42"/>
      </w:pPr>
      <w:r>
        <w:rPr>
          <w:rFonts w:ascii="Cambria" w:eastAsia="Cambria" w:hAnsi="Cambria" w:cs="Cambria"/>
          <w:b/>
          <w:bCs/>
          <w:color w:val="1F3864"/>
          <w:sz w:val="19"/>
          <w:szCs w:val="19"/>
        </w:rPr>
        <w:t>The Premises</w:t>
      </w:r>
    </w:p>
    <w:tbl>
      <w:tblPr>
        <w:tblW w:w="10800" w:type="dxa"/>
        <w:tblBorders>
          <w:top w:val="single" w:sz="2" w:space="0" w:color="C8C8C8"/>
          <w:left w:val="none" w:sz="0" w:space="0" w:color="FFFFFF"/>
          <w:bottom w:val="single" w:sz="2" w:space="0" w:color="C8C8C8"/>
          <w:right w:val="none" w:sz="0" w:space="0" w:color="FFFFFF"/>
          <w:insideH w:val="single" w:sz="2" w:space="0" w:color="C8C8C8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"/>
        <w:gridCol w:w="10180"/>
      </w:tblGrid>
      <w:tr w:rsidR="00890D9C" w14:paraId="7777B3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5598392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P1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6196655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God is self-existent. There is nothing outside Him. </w:t>
            </w:r>
            <w:r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</w:rPr>
              <w:t>(Ex. 3:14; Acts 17:28)</w:t>
            </w:r>
          </w:p>
        </w:tc>
      </w:tr>
      <w:tr w:rsidR="00890D9C" w14:paraId="011D19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61EDFAF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P2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9782480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God is light; in Him is no darkness at all. </w:t>
            </w:r>
            <w:r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</w:rPr>
              <w:t>(1 John 1:5)</w:t>
            </w:r>
          </w:p>
        </w:tc>
      </w:tr>
      <w:tr w:rsidR="00890D9C" w14:paraId="1CC176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4762B8B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P3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47161CA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His purity is an ongoing </w:t>
            </w:r>
            <w:r>
              <w:rPr>
                <w:rFonts w:ascii="Calibri" w:eastAsia="Calibri" w:hAnsi="Calibri" w:cs="Calibri"/>
                <w:i/>
                <w:iCs/>
                <w:color w:val="1A1A1A"/>
                <w:sz w:val="17"/>
                <w:szCs w:val="17"/>
              </w:rPr>
              <w:t>separation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of light from dark — so admitting darkness is not distasteful to Him but self-annihilating.</w:t>
            </w:r>
          </w:p>
        </w:tc>
      </w:tr>
      <w:tr w:rsidR="00890D9C" w14:paraId="16D3A6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4DB7BC3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P4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327BEE8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God is love. </w:t>
            </w:r>
            <w:r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</w:rPr>
              <w:t>(1 John 4:8)</w:t>
            </w:r>
          </w:p>
        </w:tc>
      </w:tr>
      <w:tr w:rsidR="00890D9C" w14:paraId="4A374F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0ADC689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P5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5A65C7F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Love cannot be satisfied alone, nor by a compelled response.</w:t>
            </w:r>
          </w:p>
        </w:tc>
      </w:tr>
      <w:tr w:rsidR="00890D9C" w14:paraId="2CB3C4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6E25F8D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P6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5788C85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∴ Free others must exist, capable of genuine refusal.</w:t>
            </w:r>
          </w:p>
        </w:tc>
      </w:tr>
      <w:tr w:rsidR="00890D9C" w14:paraId="39F471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7872C6A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P7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7BF88EA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Genuine refusal requires real access to the alternative — proximity to evil.</w:t>
            </w:r>
          </w:p>
        </w:tc>
      </w:tr>
      <w:tr w:rsidR="00890D9C" w14:paraId="22F115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1C12AF6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P8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A9A0CFD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Moral disorder is </w:t>
            </w:r>
            <w:r>
              <w:rPr>
                <w:rFonts w:ascii="Calibri" w:eastAsia="Calibri" w:hAnsi="Calibri" w:cs="Calibri"/>
                <w:i/>
                <w:iCs/>
                <w:color w:val="1A1A1A"/>
                <w:sz w:val="17"/>
                <w:szCs w:val="17"/>
              </w:rPr>
              <w:t>conservative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: it does not fade, and later good cannot reach back to cancel earlier wrong.</w:t>
            </w:r>
          </w:p>
        </w:tc>
      </w:tr>
    </w:tbl>
    <w:p w14:paraId="15E06B7F" w14:textId="77777777" w:rsidR="00890D9C" w:rsidRDefault="00000000">
      <w:pPr>
        <w:pBdr>
          <w:bottom w:val="single" w:sz="4" w:space="2" w:color="1F3864"/>
        </w:pBdr>
        <w:spacing w:before="76" w:after="42"/>
      </w:pPr>
      <w:r>
        <w:rPr>
          <w:rFonts w:ascii="Cambria" w:eastAsia="Cambria" w:hAnsi="Cambria" w:cs="Cambria"/>
          <w:b/>
          <w:bCs/>
          <w:color w:val="1F3864"/>
          <w:sz w:val="19"/>
          <w:szCs w:val="19"/>
        </w:rPr>
        <w:t>The Contradiction</w:t>
      </w:r>
    </w:p>
    <w:tbl>
      <w:tblPr>
        <w:tblW w:w="10800" w:type="dxa"/>
        <w:tblBorders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890D9C" w14:paraId="49ACDA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0" w:type="dxa"/>
            <w:shd w:val="clear" w:color="auto" w:fill="EEF1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D88A10E" w14:textId="77777777" w:rsidR="00890D9C" w:rsidRDefault="00000000">
            <w:pPr>
              <w:spacing w:after="20"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Free creatures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must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exist (P4–P6).   ·   They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must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be near evil (P7).</w:t>
            </w:r>
          </w:p>
          <w:p w14:paraId="5D977F95" w14:textId="77777777" w:rsidR="00890D9C" w:rsidRDefault="00000000">
            <w:pPr>
              <w:spacing w:after="50"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God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cannot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abide evil in His presence (P2–P3).   ·   There is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nowhere outside God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to put them (P1).</w:t>
            </w:r>
          </w:p>
          <w:p w14:paraId="18066DBE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 xml:space="preserve">These four cannot all be satisfied — unless a region can be sealed off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1A1A1A"/>
                <w:sz w:val="17"/>
                <w:szCs w:val="17"/>
              </w:rPr>
              <w:t>within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 xml:space="preserve"> God.</w:t>
            </w:r>
          </w:p>
        </w:tc>
      </w:tr>
    </w:tbl>
    <w:p w14:paraId="07380D9C" w14:textId="77777777" w:rsidR="00890D9C" w:rsidRDefault="00000000">
      <w:pPr>
        <w:pBdr>
          <w:bottom w:val="single" w:sz="4" w:space="2" w:color="1F3864"/>
        </w:pBdr>
        <w:spacing w:before="76" w:after="42"/>
      </w:pPr>
      <w:r>
        <w:rPr>
          <w:rFonts w:ascii="Cambria" w:eastAsia="Cambria" w:hAnsi="Cambria" w:cs="Cambria"/>
          <w:b/>
          <w:bCs/>
          <w:color w:val="1F3864"/>
          <w:sz w:val="19"/>
          <w:szCs w:val="19"/>
        </w:rPr>
        <w:t>The Resolution</w:t>
      </w:r>
    </w:p>
    <w:tbl>
      <w:tblPr>
        <w:tblW w:w="10800" w:type="dxa"/>
        <w:tblBorders>
          <w:top w:val="single" w:sz="2" w:space="0" w:color="C8C8C8"/>
          <w:left w:val="none" w:sz="0" w:space="0" w:color="FFFFFF"/>
          <w:bottom w:val="single" w:sz="2" w:space="0" w:color="C8C8C8"/>
          <w:right w:val="none" w:sz="0" w:space="0" w:color="FFFFFF"/>
          <w:insideH w:val="single" w:sz="2" w:space="0" w:color="C8C8C8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"/>
        <w:gridCol w:w="10180"/>
      </w:tblGrid>
      <w:tr w:rsidR="00890D9C" w14:paraId="589F66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C6EDE4F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P9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4533EDD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God demonstrably </w:t>
            </w:r>
            <w:r>
              <w:rPr>
                <w:rFonts w:ascii="Calibri" w:eastAsia="Calibri" w:hAnsi="Calibri" w:cs="Calibri"/>
                <w:i/>
                <w:iCs/>
                <w:color w:val="1A1A1A"/>
                <w:sz w:val="17"/>
                <w:szCs w:val="17"/>
              </w:rPr>
              <w:t>can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partition — the rebel angels are sequestered, not annihilated.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Continued existence, terminated fellowship.</w:t>
            </w:r>
            <w:r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</w:rPr>
              <w:t xml:space="preserve"> (2 Pet. 2:4; Jude 6)</w:t>
            </w:r>
          </w:p>
        </w:tc>
      </w:tr>
      <w:tr w:rsidR="00890D9C" w14:paraId="17E5A2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632ABC6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P10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0F4BC39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The partition is the creation, made and held by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the Son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— who can look upon evil without expelling it. </w:t>
            </w:r>
            <w:r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</w:rPr>
              <w:t>(John 1:3)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This is why the Son, not the Father, is Creator.</w:t>
            </w:r>
          </w:p>
        </w:tc>
      </w:tr>
      <w:tr w:rsidR="00890D9C" w14:paraId="742169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FA1D453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P11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E5B6AEA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Because the domain’s </w:t>
            </w:r>
            <w:r>
              <w:rPr>
                <w:rFonts w:ascii="Calibri" w:eastAsia="Calibri" w:hAnsi="Calibri" w:cs="Calibri"/>
                <w:i/>
                <w:iCs/>
                <w:color w:val="1A1A1A"/>
                <w:sz w:val="17"/>
                <w:szCs w:val="17"/>
              </w:rPr>
              <w:t>exit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opens onto the Father, its law must be as exact as His. Hence sin genuinely incurs death; hence </w:t>
            </w:r>
            <w:r>
              <w:rPr>
                <w:rFonts w:ascii="Calibri" w:eastAsia="Calibri" w:hAnsi="Calibri" w:cs="Calibri"/>
                <w:i/>
                <w:iCs/>
                <w:color w:val="1A1A1A"/>
                <w:sz w:val="17"/>
                <w:szCs w:val="17"/>
              </w:rPr>
              <w:t>eye for eye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—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exactness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, not vengeance.</w:t>
            </w:r>
          </w:p>
        </w:tc>
      </w:tr>
      <w:tr w:rsidR="00890D9C" w14:paraId="7287C9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0C6F91A" w14:textId="77777777" w:rsidR="00890D9C" w:rsidRDefault="00000000">
            <w:pPr>
              <w:spacing w:line="206" w:lineRule="auto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7"/>
                <w:szCs w:val="17"/>
              </w:rPr>
              <w:t>P12</w:t>
            </w:r>
          </w:p>
        </w:tc>
        <w:tc>
          <w:tcPr>
            <w:tcW w:w="10180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C4F1FE8" w14:textId="77777777" w:rsidR="00890D9C" w:rsidRDefault="00000000">
            <w:pPr>
              <w:spacing w:line="206" w:lineRule="auto"/>
            </w:pP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∴ No creature can pay: his good works arrive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too late</w:t>
            </w:r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(P8), and paying in full costs him the existence the payment was meant to preserve.</w:t>
            </w:r>
          </w:p>
        </w:tc>
      </w:tr>
    </w:tbl>
    <w:p w14:paraId="5E44FCEE" w14:textId="77777777" w:rsidR="00890D9C" w:rsidRDefault="00000000">
      <w:pPr>
        <w:pBdr>
          <w:bottom w:val="single" w:sz="4" w:space="2" w:color="1F3864"/>
        </w:pBdr>
        <w:spacing w:before="76" w:after="42"/>
      </w:pPr>
      <w:r>
        <w:rPr>
          <w:rFonts w:ascii="Cambria" w:eastAsia="Cambria" w:hAnsi="Cambria" w:cs="Cambria"/>
          <w:b/>
          <w:bCs/>
          <w:color w:val="1F3864"/>
          <w:sz w:val="19"/>
          <w:szCs w:val="19"/>
        </w:rPr>
        <w:t>The Chain to the Cross</w:t>
      </w:r>
    </w:p>
    <w:p w14:paraId="17A811F3" w14:textId="77777777" w:rsidR="00890D9C" w:rsidRDefault="00000000">
      <w:pPr>
        <w:spacing w:after="20" w:line="206" w:lineRule="auto"/>
      </w:pPr>
      <w:r>
        <w:rPr>
          <w:rFonts w:ascii="Calibri" w:eastAsia="Calibri" w:hAnsi="Calibri" w:cs="Calibri"/>
          <w:color w:val="1A1A1A"/>
          <w:sz w:val="17"/>
          <w:szCs w:val="17"/>
        </w:rPr>
        <w:t xml:space="preserve">Remedy must be generated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inside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the domain, by one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innocent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and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sovereign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within it</w:t>
      </w:r>
    </w:p>
    <w:p w14:paraId="25C568CD" w14:textId="77777777" w:rsidR="00890D9C" w:rsidRDefault="00000000">
      <w:pPr>
        <w:spacing w:after="12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→  </w:t>
      </w:r>
      <w:r>
        <w:rPr>
          <w:rFonts w:ascii="Calibri" w:eastAsia="Calibri" w:hAnsi="Calibri" w:cs="Calibri"/>
          <w:color w:val="1A1A1A"/>
          <w:sz w:val="17"/>
          <w:szCs w:val="17"/>
        </w:rPr>
        <w:t>the Creator incarnates; a real body, killable, carrying no sentence</w:t>
      </w:r>
    </w:p>
    <w:p w14:paraId="21524BED" w14:textId="77777777" w:rsidR="00890D9C" w:rsidRDefault="00000000">
      <w:pPr>
        <w:spacing w:after="12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→  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dies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unjustly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— in an exact ledger every sin demands a death, so every death demands a sin; His is a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credit with no matching debt</w:t>
      </w:r>
    </w:p>
    <w:p w14:paraId="6D379990" w14:textId="77777777" w:rsidR="00890D9C" w:rsidRDefault="00000000">
      <w:pPr>
        <w:spacing w:after="12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→ 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rises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, because the sentence found nothing in Him to grip — a treasury requires a living treasurer </w:t>
      </w:r>
      <w:r>
        <w:rPr>
          <w:rFonts w:ascii="Calibri" w:eastAsia="Calibri" w:hAnsi="Calibri" w:cs="Calibri"/>
          <w:i/>
          <w:iCs/>
          <w:color w:val="666666"/>
          <w:sz w:val="17"/>
          <w:szCs w:val="17"/>
        </w:rPr>
        <w:t>(Heb. 7:25)</w:t>
      </w:r>
    </w:p>
    <w:p w14:paraId="090B1AAF" w14:textId="77777777" w:rsidR="00890D9C" w:rsidRDefault="00000000">
      <w:pPr>
        <w:spacing w:after="12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→ 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administers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it as gatekeeper: His domain, His law, His payment, His threshold </w:t>
      </w:r>
      <w:r>
        <w:rPr>
          <w:rFonts w:ascii="Calibri" w:eastAsia="Calibri" w:hAnsi="Calibri" w:cs="Calibri"/>
          <w:i/>
          <w:iCs/>
          <w:color w:val="666666"/>
          <w:sz w:val="17"/>
          <w:szCs w:val="17"/>
        </w:rPr>
        <w:t>(John 14:6)</w:t>
      </w:r>
    </w:p>
    <w:p w14:paraId="0A0B584F" w14:textId="77777777" w:rsidR="00890D9C" w:rsidRDefault="00000000">
      <w:pPr>
        <w:spacing w:after="46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→ 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applied on reception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— because imposing it would destroy at the last step the very freedom the whole creation was built to protect.</w:t>
      </w:r>
    </w:p>
    <w:p w14:paraId="70479308" w14:textId="77777777" w:rsidR="00890D9C" w:rsidRDefault="00000000">
      <w:pPr>
        <w:spacing w:after="20" w:line="206" w:lineRule="auto"/>
      </w:pP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Two distinctions that keep this from collapsing:</w:t>
      </w:r>
    </w:p>
    <w:p w14:paraId="04E08CED" w14:textId="77777777" w:rsidR="00890D9C" w:rsidRDefault="00000000">
      <w:pPr>
        <w:spacing w:after="12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•  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He bore our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liability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, not our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disharmony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— </w:t>
      </w:r>
      <w:r>
        <w:rPr>
          <w:rFonts w:ascii="Calibri" w:eastAsia="Calibri" w:hAnsi="Calibri" w:cs="Calibri"/>
          <w:i/>
          <w:iCs/>
          <w:color w:val="1A1A1A"/>
          <w:sz w:val="17"/>
          <w:szCs w:val="17"/>
        </w:rPr>
        <w:t>laid on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him, a burden held, not a stain caught </w:t>
      </w:r>
      <w:r>
        <w:rPr>
          <w:rFonts w:ascii="Calibri" w:eastAsia="Calibri" w:hAnsi="Calibri" w:cs="Calibri"/>
          <w:i/>
          <w:iCs/>
          <w:color w:val="666666"/>
          <w:sz w:val="17"/>
          <w:szCs w:val="17"/>
        </w:rPr>
        <w:t>(Isa. 53:6)</w:t>
      </w:r>
      <w:r>
        <w:rPr>
          <w:rFonts w:ascii="Calibri" w:eastAsia="Calibri" w:hAnsi="Calibri" w:cs="Calibri"/>
          <w:color w:val="1A1A1A"/>
          <w:sz w:val="17"/>
          <w:szCs w:val="17"/>
        </w:rPr>
        <w:t>. The wrath gripped the sin, never the Man.</w:t>
      </w:r>
    </w:p>
    <w:p w14:paraId="358B0CAE" w14:textId="77777777" w:rsidR="00890D9C" w:rsidRDefault="00000000">
      <w:pPr>
        <w:spacing w:after="30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•  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The cross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generated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the answer to every sentence; it did not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execute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every sentence. A pattern applied, not a stock drawn down — so it never runs out, and cancels nothing until brought into phase with it.</w:t>
      </w:r>
    </w:p>
    <w:p w14:paraId="32724BF9" w14:textId="77777777" w:rsidR="00890D9C" w:rsidRDefault="00000000">
      <w:pPr>
        <w:pBdr>
          <w:bottom w:val="single" w:sz="4" w:space="2" w:color="1F3864"/>
        </w:pBdr>
        <w:spacing w:before="76" w:after="42"/>
      </w:pPr>
      <w:r>
        <w:rPr>
          <w:rFonts w:ascii="Cambria" w:eastAsia="Cambria" w:hAnsi="Cambria" w:cs="Cambria"/>
          <w:b/>
          <w:bCs/>
          <w:color w:val="1F3864"/>
          <w:sz w:val="19"/>
          <w:szCs w:val="19"/>
        </w:rPr>
        <w:t>The Conclusion</w:t>
      </w:r>
    </w:p>
    <w:p w14:paraId="65D96459" w14:textId="77777777" w:rsidR="00890D9C" w:rsidRDefault="00000000">
      <w:pPr>
        <w:spacing w:after="40" w:line="206" w:lineRule="auto"/>
      </w:pP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The Savior is not an accommodation. He is a structural necessity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— the only bridge between a holiness that cannot tolerate darkness and a love that requires free creatures who can choose it. </w:t>
      </w:r>
      <w:r>
        <w:rPr>
          <w:rFonts w:ascii="Calibri" w:eastAsia="Calibri" w:hAnsi="Calibri" w:cs="Calibri"/>
          <w:b/>
          <w:bCs/>
          <w:i/>
          <w:iCs/>
          <w:color w:val="1A1A1A"/>
          <w:sz w:val="17"/>
          <w:szCs w:val="17"/>
        </w:rPr>
        <w:t>At-one-ment</w:t>
      </w:r>
      <w:r>
        <w:rPr>
          <w:rFonts w:ascii="Calibri" w:eastAsia="Calibri" w:hAnsi="Calibri" w:cs="Calibri"/>
          <w:color w:val="1A1A1A"/>
          <w:sz w:val="17"/>
          <w:szCs w:val="17"/>
        </w:rPr>
        <w:t>: what sin partitioned (Isa. 59:2), alignment with the Son rejoins (Eph. 2:13).</w:t>
      </w:r>
    </w:p>
    <w:p w14:paraId="5FEBA2D1" w14:textId="77777777" w:rsidR="00890D9C" w:rsidRDefault="00000000">
      <w:pPr>
        <w:pBdr>
          <w:bottom w:val="single" w:sz="4" w:space="2" w:color="1F3864"/>
        </w:pBdr>
        <w:spacing w:before="76" w:after="42"/>
      </w:pPr>
      <w:r>
        <w:rPr>
          <w:rFonts w:ascii="Cambria" w:eastAsia="Cambria" w:hAnsi="Cambria" w:cs="Cambria"/>
          <w:b/>
          <w:bCs/>
          <w:color w:val="1F3864"/>
          <w:sz w:val="19"/>
          <w:szCs w:val="19"/>
        </w:rPr>
        <w:t>Pick Your Fight — Where to Push</w:t>
      </w:r>
    </w:p>
    <w:p w14:paraId="6DD208C2" w14:textId="77777777" w:rsidR="00890D9C" w:rsidRDefault="00000000">
      <w:pPr>
        <w:spacing w:after="40" w:line="206" w:lineRule="auto"/>
      </w:pPr>
      <w:r>
        <w:rPr>
          <w:rFonts w:ascii="Calibri" w:eastAsia="Calibri" w:hAnsi="Calibri" w:cs="Calibri"/>
          <w:i/>
          <w:iCs/>
          <w:color w:val="555555"/>
          <w:sz w:val="16"/>
          <w:szCs w:val="16"/>
        </w:rPr>
        <w:t>Choose one. Naming the premise you doubt is more useful than doubting the whole.</w:t>
      </w:r>
    </w:p>
    <w:p w14:paraId="2DA6FCB4" w14:textId="77777777" w:rsidR="00890D9C" w:rsidRDefault="00000000">
      <w:pPr>
        <w:spacing w:after="12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1. 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P3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— Is God’s purity really </w:t>
      </w:r>
      <w:r>
        <w:rPr>
          <w:rFonts w:ascii="Calibri" w:eastAsia="Calibri" w:hAnsi="Calibri" w:cs="Calibri"/>
          <w:i/>
          <w:iCs/>
          <w:color w:val="1A1A1A"/>
          <w:sz w:val="17"/>
          <w:szCs w:val="17"/>
        </w:rPr>
        <w:t>constituted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as separation? Does the argument survive without it?</w:t>
      </w:r>
    </w:p>
    <w:p w14:paraId="7A39538A" w14:textId="77777777" w:rsidR="00890D9C" w:rsidRDefault="00000000">
      <w:pPr>
        <w:spacing w:after="12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2. 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P7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— Could God have made creatures free to choose only among goods? Must freedom include access to evil?</w:t>
      </w:r>
    </w:p>
    <w:p w14:paraId="0446C049" w14:textId="77777777" w:rsidR="00890D9C" w:rsidRDefault="00000000">
      <w:pPr>
        <w:spacing w:after="12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3. 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P8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— Why can’t grace simply </w:t>
      </w:r>
      <w:r>
        <w:rPr>
          <w:rFonts w:ascii="Calibri" w:eastAsia="Calibri" w:hAnsi="Calibri" w:cs="Calibri"/>
          <w:i/>
          <w:iCs/>
          <w:color w:val="1A1A1A"/>
          <w:sz w:val="17"/>
          <w:szCs w:val="17"/>
        </w:rPr>
        <w:t>heal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disorder? Is disorder truly conserved, or is that a physics metaphor overreaching?</w:t>
      </w:r>
    </w:p>
    <w:p w14:paraId="294B5A68" w14:textId="77777777" w:rsidR="00890D9C" w:rsidRDefault="00000000">
      <w:pPr>
        <w:spacing w:after="12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4. 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P11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— Could the Son have run a lenient world and cleaned everyone at the gate? Why must the inside be as severe as the outside?</w:t>
      </w:r>
    </w:p>
    <w:p w14:paraId="4AD80FDD" w14:textId="77777777" w:rsidR="00890D9C" w:rsidRDefault="00000000">
      <w:pPr>
        <w:spacing w:after="12" w:line="206" w:lineRule="auto"/>
        <w:ind w:left="180"/>
      </w:pPr>
      <w:r>
        <w:rPr>
          <w:rFonts w:ascii="Calibri" w:eastAsia="Calibri" w:hAnsi="Calibri" w:cs="Calibri"/>
          <w:b/>
          <w:bCs/>
          <w:color w:val="1F3864"/>
          <w:sz w:val="17"/>
          <w:szCs w:val="17"/>
        </w:rPr>
        <w:t xml:space="preserve">5. 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Reception</w:t>
      </w:r>
      <w:r>
        <w:rPr>
          <w:rFonts w:ascii="Calibri" w:eastAsia="Calibri" w:hAnsi="Calibri" w:cs="Calibri"/>
          <w:color w:val="1A1A1A"/>
          <w:sz w:val="17"/>
          <w:szCs w:val="17"/>
        </w:rPr>
        <w:t xml:space="preserve"> — If the remedy is sufficient for all, why not apply it to all? Is the answer freedom — or is it arbitrary?</w:t>
      </w:r>
    </w:p>
    <w:p w14:paraId="520C6358" w14:textId="77777777" w:rsidR="00203580" w:rsidRDefault="00000000">
      <w:pPr>
        <w:pBdr>
          <w:top w:val="single" w:sz="8" w:space="6" w:color="1F3864"/>
        </w:pBdr>
        <w:spacing w:before="100" w:after="30" w:line="210" w:lineRule="auto"/>
        <w:jc w:val="center"/>
        <w:rPr>
          <w:rFonts w:ascii="Cambria" w:eastAsia="Cambria" w:hAnsi="Cambria" w:cs="Cambria"/>
          <w:i/>
          <w:iCs/>
          <w:color w:val="1F3864"/>
          <w:sz w:val="17"/>
          <w:szCs w:val="17"/>
        </w:rPr>
      </w:pPr>
      <w:r>
        <w:rPr>
          <w:rFonts w:ascii="Cambria" w:eastAsia="Cambria" w:hAnsi="Cambria" w:cs="Cambria"/>
          <w:i/>
          <w:iCs/>
          <w:color w:val="1F3864"/>
          <w:sz w:val="17"/>
          <w:szCs w:val="17"/>
        </w:rPr>
        <w:t xml:space="preserve">“For if, when we were enemies, we were reconciled to God by the death of his Son, much more, being reconciled, we shall be saved by his life.”  </w:t>
      </w:r>
    </w:p>
    <w:p w14:paraId="5DE56115" w14:textId="464B4E6C" w:rsidR="00890D9C" w:rsidRDefault="00000000">
      <w:pPr>
        <w:pBdr>
          <w:top w:val="single" w:sz="8" w:space="6" w:color="1F3864"/>
        </w:pBdr>
        <w:spacing w:before="100" w:after="30" w:line="210" w:lineRule="auto"/>
        <w:jc w:val="center"/>
      </w:pPr>
      <w:r>
        <w:rPr>
          <w:rFonts w:ascii="Cambria" w:eastAsia="Cambria" w:hAnsi="Cambria" w:cs="Cambria"/>
          <w:i/>
          <w:iCs/>
          <w:color w:val="1F3864"/>
          <w:sz w:val="17"/>
          <w:szCs w:val="17"/>
        </w:rPr>
        <w:t>—  Romans 5:10</w:t>
      </w:r>
    </w:p>
    <w:p w14:paraId="43CA4DA0" w14:textId="77777777" w:rsidR="00890D9C" w:rsidRDefault="00000000">
      <w:pPr>
        <w:jc w:val="center"/>
        <w:rPr>
          <w:rFonts w:ascii="Calibri" w:eastAsia="Calibri" w:hAnsi="Calibri" w:cs="Calibri"/>
          <w:color w:val="777777"/>
          <w:sz w:val="14"/>
          <w:szCs w:val="14"/>
        </w:rPr>
      </w:pPr>
      <w:r>
        <w:rPr>
          <w:rFonts w:ascii="Calibri" w:eastAsia="Calibri" w:hAnsi="Calibri" w:cs="Calibri"/>
          <w:color w:val="777777"/>
          <w:sz w:val="14"/>
          <w:szCs w:val="14"/>
        </w:rPr>
        <w:t>Renaissance Ministries  ·  Of one heart to make Christ King.  1 Chronicles 12:38</w:t>
      </w:r>
    </w:p>
    <w:p w14:paraId="161E77DF" w14:textId="77777777" w:rsidR="00203580" w:rsidRDefault="00203580">
      <w:pPr>
        <w:jc w:val="center"/>
        <w:rPr>
          <w:rFonts w:ascii="Calibri" w:eastAsia="Calibri" w:hAnsi="Calibri" w:cs="Calibri"/>
          <w:color w:val="777777"/>
          <w:sz w:val="14"/>
          <w:szCs w:val="14"/>
        </w:rPr>
      </w:pPr>
      <w:hyperlink r:id="rId5" w:history="1">
        <w:r w:rsidRPr="00093A5E">
          <w:rPr>
            <w:rStyle w:val="Hyperlink"/>
            <w:rFonts w:ascii="Calibri" w:eastAsia="Calibri" w:hAnsi="Calibri" w:cs="Calibri"/>
            <w:sz w:val="14"/>
            <w:szCs w:val="14"/>
          </w:rPr>
          <w:t>www.Renaissance-Ministries.com</w:t>
        </w:r>
      </w:hyperlink>
      <w:r>
        <w:rPr>
          <w:rFonts w:ascii="Calibri" w:eastAsia="Calibri" w:hAnsi="Calibri" w:cs="Calibri"/>
          <w:color w:val="777777"/>
          <w:sz w:val="14"/>
          <w:szCs w:val="14"/>
        </w:rPr>
        <w:t xml:space="preserve">  </w:t>
      </w:r>
    </w:p>
    <w:p w14:paraId="3F96CD8F" w14:textId="7F69D8E9" w:rsidR="00203580" w:rsidRDefault="00203580">
      <w:pPr>
        <w:jc w:val="center"/>
      </w:pPr>
      <w:hyperlink r:id="rId6" w:history="1">
        <w:r w:rsidRPr="00093A5E">
          <w:rPr>
            <w:rStyle w:val="Hyperlink"/>
            <w:rFonts w:ascii="Calibri" w:eastAsia="Calibri" w:hAnsi="Calibri" w:cs="Calibri"/>
            <w:sz w:val="14"/>
            <w:szCs w:val="14"/>
          </w:rPr>
          <w:t>www.HyperphysicsInstitute.com</w:t>
        </w:r>
      </w:hyperlink>
      <w:r>
        <w:rPr>
          <w:rFonts w:ascii="Calibri" w:eastAsia="Calibri" w:hAnsi="Calibri" w:cs="Calibri"/>
          <w:color w:val="777777"/>
          <w:sz w:val="14"/>
          <w:szCs w:val="14"/>
        </w:rPr>
        <w:t xml:space="preserve"> </w:t>
      </w:r>
    </w:p>
    <w:sectPr w:rsidR="00203580">
      <w:pgSz w:w="12240" w:h="15840"/>
      <w:pgMar w:top="660" w:right="720" w:bottom="54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075A"/>
    <w:multiLevelType w:val="hybridMultilevel"/>
    <w:tmpl w:val="622CA7FC"/>
    <w:lvl w:ilvl="0" w:tplc="FE84D7C4">
      <w:start w:val="1"/>
      <w:numFmt w:val="bullet"/>
      <w:lvlText w:val="●"/>
      <w:lvlJc w:val="left"/>
      <w:pPr>
        <w:ind w:left="720" w:hanging="360"/>
      </w:pPr>
    </w:lvl>
    <w:lvl w:ilvl="1" w:tplc="0028551C">
      <w:start w:val="1"/>
      <w:numFmt w:val="bullet"/>
      <w:lvlText w:val="○"/>
      <w:lvlJc w:val="left"/>
      <w:pPr>
        <w:ind w:left="1440" w:hanging="360"/>
      </w:pPr>
    </w:lvl>
    <w:lvl w:ilvl="2" w:tplc="94CA887A">
      <w:start w:val="1"/>
      <w:numFmt w:val="bullet"/>
      <w:lvlText w:val="■"/>
      <w:lvlJc w:val="left"/>
      <w:pPr>
        <w:ind w:left="2160" w:hanging="360"/>
      </w:pPr>
    </w:lvl>
    <w:lvl w:ilvl="3" w:tplc="40D21CCE">
      <w:start w:val="1"/>
      <w:numFmt w:val="bullet"/>
      <w:lvlText w:val="●"/>
      <w:lvlJc w:val="left"/>
      <w:pPr>
        <w:ind w:left="2880" w:hanging="360"/>
      </w:pPr>
    </w:lvl>
    <w:lvl w:ilvl="4" w:tplc="76C85A80">
      <w:start w:val="1"/>
      <w:numFmt w:val="bullet"/>
      <w:lvlText w:val="○"/>
      <w:lvlJc w:val="left"/>
      <w:pPr>
        <w:ind w:left="3600" w:hanging="360"/>
      </w:pPr>
    </w:lvl>
    <w:lvl w:ilvl="5" w:tplc="4AB68944">
      <w:start w:val="1"/>
      <w:numFmt w:val="bullet"/>
      <w:lvlText w:val="■"/>
      <w:lvlJc w:val="left"/>
      <w:pPr>
        <w:ind w:left="4320" w:hanging="360"/>
      </w:pPr>
    </w:lvl>
    <w:lvl w:ilvl="6" w:tplc="95B84988">
      <w:start w:val="1"/>
      <w:numFmt w:val="bullet"/>
      <w:lvlText w:val="●"/>
      <w:lvlJc w:val="left"/>
      <w:pPr>
        <w:ind w:left="5040" w:hanging="360"/>
      </w:pPr>
    </w:lvl>
    <w:lvl w:ilvl="7" w:tplc="6AAE2F2A">
      <w:start w:val="1"/>
      <w:numFmt w:val="bullet"/>
      <w:lvlText w:val="●"/>
      <w:lvlJc w:val="left"/>
      <w:pPr>
        <w:ind w:left="5760" w:hanging="360"/>
      </w:pPr>
    </w:lvl>
    <w:lvl w:ilvl="8" w:tplc="C8B68344">
      <w:start w:val="1"/>
      <w:numFmt w:val="bullet"/>
      <w:lvlText w:val="●"/>
      <w:lvlJc w:val="left"/>
      <w:pPr>
        <w:ind w:left="6480" w:hanging="360"/>
      </w:pPr>
    </w:lvl>
  </w:abstractNum>
  <w:num w:numId="1" w16cid:durableId="14336725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D9C"/>
    <w:rsid w:val="00203580"/>
    <w:rsid w:val="00890D9C"/>
    <w:rsid w:val="00EF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49C3E"/>
  <w15:docId w15:val="{A663FD11-2DB8-4FBE-AA2B-5466CFD4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03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yperphysicsInstitute.com" TargetMode="External"/><Relationship Id="rId5" Type="http://schemas.openxmlformats.org/officeDocument/2006/relationships/hyperlink" Target="http://www.Renaissance-Ministri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Thomas Lee Abshier</cp:lastModifiedBy>
  <cp:revision>2</cp:revision>
  <dcterms:created xsi:type="dcterms:W3CDTF">2026-07-25T14:15:00Z</dcterms:created>
  <dcterms:modified xsi:type="dcterms:W3CDTF">2026-07-25T14:20:00Z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062dbd97-f637-465e-8762-94f1418c666e</vt:lpwstr>
  </property>
</Properties>
</file>